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85E" w:rsidRDefault="00C1085E" w:rsidP="00C1085E">
      <w:pPr>
        <w:jc w:val="center"/>
        <w:rPr>
          <w:sz w:val="22"/>
          <w:szCs w:val="22"/>
        </w:rPr>
      </w:pPr>
      <w:r>
        <w:rPr>
          <w:sz w:val="22"/>
          <w:szCs w:val="22"/>
        </w:rPr>
        <w:t>The marriage of groups and Boolean algebras.</w:t>
      </w:r>
    </w:p>
    <w:p w:rsidR="00C1085E" w:rsidRDefault="0002662F" w:rsidP="00C1085E">
      <w:pPr>
        <w:jc w:val="center"/>
        <w:rPr>
          <w:sz w:val="22"/>
          <w:szCs w:val="22"/>
        </w:rPr>
      </w:pPr>
      <w:r>
        <w:rPr>
          <w:sz w:val="22"/>
          <w:szCs w:val="22"/>
        </w:rPr>
        <w:t>In memory of</w:t>
      </w:r>
      <w:r w:rsidR="00C1085E">
        <w:rPr>
          <w:sz w:val="22"/>
          <w:szCs w:val="22"/>
        </w:rPr>
        <w:t xml:space="preserve"> Steven Givant</w:t>
      </w:r>
    </w:p>
    <w:p w:rsidR="00C1085E" w:rsidRDefault="00C1085E" w:rsidP="00C1085E">
      <w:pPr>
        <w:jc w:val="center"/>
        <w:rPr>
          <w:sz w:val="22"/>
          <w:szCs w:val="22"/>
          <w:lang w:val="hu-HU"/>
        </w:rPr>
      </w:pPr>
      <w:r>
        <w:rPr>
          <w:sz w:val="22"/>
          <w:szCs w:val="22"/>
        </w:rPr>
        <w:t>Talk by H. Andr</w:t>
      </w:r>
      <w:r>
        <w:rPr>
          <w:sz w:val="22"/>
          <w:szCs w:val="22"/>
          <w:lang w:val="hu-HU"/>
        </w:rPr>
        <w:t>éka and I. Németi</w:t>
      </w:r>
    </w:p>
    <w:p w:rsidR="00C1085E" w:rsidRDefault="00C1085E" w:rsidP="00C1085E">
      <w:pPr>
        <w:jc w:val="center"/>
        <w:rPr>
          <w:sz w:val="22"/>
          <w:szCs w:val="22"/>
          <w:lang w:val="hu-HU"/>
        </w:rPr>
      </w:pPr>
      <w:r>
        <w:rPr>
          <w:sz w:val="22"/>
          <w:szCs w:val="22"/>
          <w:lang w:val="hu-HU"/>
        </w:rPr>
        <w:t>Renyi Institute, lecture room on the 3rd floor</w:t>
      </w:r>
    </w:p>
    <w:p w:rsidR="00C1085E" w:rsidRDefault="00C1085E" w:rsidP="00C1085E">
      <w:pPr>
        <w:jc w:val="center"/>
        <w:rPr>
          <w:sz w:val="22"/>
          <w:szCs w:val="22"/>
        </w:rPr>
      </w:pPr>
      <w:r>
        <w:rPr>
          <w:sz w:val="22"/>
          <w:szCs w:val="22"/>
          <w:lang w:val="hu-HU"/>
        </w:rPr>
        <w:t>December 21, 2018. 15.00—17.00</w:t>
      </w:r>
    </w:p>
    <w:p w:rsidR="00C1085E" w:rsidRDefault="00C1085E" w:rsidP="00C1085E">
      <w:pPr>
        <w:rPr>
          <w:sz w:val="22"/>
          <w:szCs w:val="22"/>
        </w:rPr>
      </w:pPr>
    </w:p>
    <w:p w:rsidR="00C1085E" w:rsidRDefault="00C1085E" w:rsidP="00C1085E">
      <w:pPr>
        <w:rPr>
          <w:sz w:val="22"/>
          <w:szCs w:val="22"/>
        </w:rPr>
      </w:pPr>
      <w:r>
        <w:rPr>
          <w:sz w:val="22"/>
          <w:szCs w:val="22"/>
        </w:rPr>
        <w:t>Put together a group and a Boolean algebra and you get a relation algebra. Typically, the complexes (i.e., subsets) of a group form a relation algebra. The representation theory of relation algebras is hard, due to the fact that the whole of axiomatic mathematics can be expressed in the equational theory of relation algebras ([TG]). The talk will be about a long-term joint work with Steve Givant, solution of a recent problem published by Roger Maddux, and an old vision of Steve Comer.</w:t>
      </w:r>
    </w:p>
    <w:p w:rsidR="00C1085E" w:rsidRDefault="00C1085E" w:rsidP="00C1085E">
      <w:pPr>
        <w:rPr>
          <w:sz w:val="22"/>
          <w:szCs w:val="22"/>
        </w:rPr>
      </w:pPr>
    </w:p>
    <w:p w:rsidR="00C1085E" w:rsidRDefault="00C1085E" w:rsidP="00C1085E">
      <w:pPr>
        <w:rPr>
          <w:sz w:val="22"/>
          <w:szCs w:val="22"/>
        </w:rPr>
      </w:pPr>
      <w:r>
        <w:rPr>
          <w:sz w:val="22"/>
          <w:szCs w:val="22"/>
        </w:rPr>
        <w:t>In more detail:</w:t>
      </w:r>
    </w:p>
    <w:p w:rsidR="00C1085E" w:rsidRDefault="00C1085E" w:rsidP="00C1085E">
      <w:pPr>
        <w:rPr>
          <w:sz w:val="22"/>
          <w:szCs w:val="22"/>
        </w:rPr>
      </w:pPr>
    </w:p>
    <w:p w:rsidR="00C1085E" w:rsidRDefault="00C1085E" w:rsidP="00C1085E">
      <w:pPr>
        <w:rPr>
          <w:sz w:val="22"/>
          <w:szCs w:val="22"/>
        </w:rPr>
      </w:pPr>
      <w:r>
        <w:rPr>
          <w:sz w:val="22"/>
          <w:szCs w:val="22"/>
        </w:rPr>
        <w:t>We call a relation algebra whose diagonal is the supremum of groups, in an appropriate sense, a group relation algebra. Group relation algebras are amazingly beautiful. The fact that the diagonal is a union of groups, implies that the whole algebra is put together from various quotients of these</w:t>
      </w:r>
      <w:r>
        <w:rPr>
          <w:color w:val="FF0000"/>
          <w:sz w:val="22"/>
          <w:szCs w:val="22"/>
        </w:rPr>
        <w:t>.</w:t>
      </w:r>
      <w:r>
        <w:rPr>
          <w:sz w:val="22"/>
          <w:szCs w:val="22"/>
        </w:rPr>
        <w:t xml:space="preserve"> This makes them seducingly close to being representable as relation algebras (by using the Cayley representation of groups).  Indeed, it is quite surprising that there are nonrepresentable group relation algebras. In the talk we will show the smallest nonrepresentable one (it has 120 atoms). Here is where an old vision of Steve Comer enters the picture. He suggested that part of relation algebra be made via (poly)groups, and indeed our construction is more perspecuous if stripped of Boolean algebra structure and told in group theory terms only.</w:t>
      </w:r>
    </w:p>
    <w:p w:rsidR="00C1085E" w:rsidRDefault="00C1085E" w:rsidP="00C1085E">
      <w:pPr>
        <w:rPr>
          <w:sz w:val="22"/>
          <w:szCs w:val="22"/>
        </w:rPr>
      </w:pPr>
    </w:p>
    <w:p w:rsidR="00C1085E" w:rsidRDefault="00C1085E" w:rsidP="00C1085E">
      <w:pPr>
        <w:rPr>
          <w:sz w:val="22"/>
          <w:szCs w:val="22"/>
        </w:rPr>
      </w:pPr>
      <w:r>
        <w:rPr>
          <w:sz w:val="22"/>
          <w:szCs w:val="22"/>
        </w:rPr>
        <w:t>Let V be the variety that the completions of representable relation algebras generate. Maddux [M] shows that V contains infinitely many nonrepresentable finite relation algebras. He asks whether V is the class RA of all relation algebras. In turn, we show that our infinitely many finite nonrepresentable group relation algebras are all outside of V. This settles his problem negatively. In this proof, the Boolean algebra structure of relation algebras plays the main role, so much so that the proof can be told for any ordered discriminator varieties.</w:t>
      </w:r>
    </w:p>
    <w:p w:rsidR="00C1085E" w:rsidRDefault="00C1085E" w:rsidP="00C1085E">
      <w:pPr>
        <w:rPr>
          <w:sz w:val="22"/>
          <w:szCs w:val="22"/>
        </w:rPr>
      </w:pPr>
    </w:p>
    <w:p w:rsidR="00C1085E" w:rsidRDefault="00C1085E" w:rsidP="00C1085E">
      <w:pPr>
        <w:rPr>
          <w:sz w:val="22"/>
          <w:szCs w:val="22"/>
        </w:rPr>
      </w:pPr>
      <w:r>
        <w:rPr>
          <w:sz w:val="22"/>
          <w:szCs w:val="22"/>
        </w:rPr>
        <w:t>[AGN] Andreka, H., Givant, S. R., and Nemeti, I., Nonrepresentable relation algebras from group systems. arXiv 2018</w:t>
      </w:r>
    </w:p>
    <w:p w:rsidR="00C1085E" w:rsidRDefault="00C1085E" w:rsidP="00C1085E">
      <w:pPr>
        <w:rPr>
          <w:sz w:val="22"/>
          <w:szCs w:val="22"/>
        </w:rPr>
      </w:pPr>
      <w:r>
        <w:rPr>
          <w:sz w:val="22"/>
          <w:szCs w:val="22"/>
        </w:rPr>
        <w:t>[C] Comer, S., A new foundation for the theory of relations. Notre Dame J. of Formal Logic, 1983.</w:t>
      </w:r>
    </w:p>
    <w:p w:rsidR="00C1085E" w:rsidRDefault="00C1085E" w:rsidP="00C1085E">
      <w:pPr>
        <w:rPr>
          <w:sz w:val="22"/>
          <w:szCs w:val="22"/>
        </w:rPr>
      </w:pPr>
      <w:r>
        <w:rPr>
          <w:sz w:val="22"/>
          <w:szCs w:val="22"/>
        </w:rPr>
        <w:t>[M] Maddux, R. D., Subcompletions of representable relation algebras. Algebra Universalis 2018.</w:t>
      </w:r>
    </w:p>
    <w:p w:rsidR="00C1085E" w:rsidRDefault="00C1085E" w:rsidP="00C1085E">
      <w:pPr>
        <w:rPr>
          <w:sz w:val="22"/>
          <w:szCs w:val="22"/>
        </w:rPr>
      </w:pPr>
      <w:r>
        <w:rPr>
          <w:sz w:val="22"/>
          <w:szCs w:val="22"/>
        </w:rPr>
        <w:t>[TG] Tarski, A. and Givant, S., A formalization of set theory without variables. AMS Colloquium Publications, 1987.</w:t>
      </w:r>
    </w:p>
    <w:p w:rsidR="005D7787" w:rsidRDefault="005D7787"/>
    <w:sectPr w:rsidR="005D7787" w:rsidSect="005D778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1085E"/>
    <w:rsid w:val="0002662F"/>
    <w:rsid w:val="0016398A"/>
    <w:rsid w:val="00376A3C"/>
    <w:rsid w:val="005D7787"/>
    <w:rsid w:val="00654ABF"/>
    <w:rsid w:val="007C1FB0"/>
    <w:rsid w:val="007C65ED"/>
    <w:rsid w:val="009054A6"/>
    <w:rsid w:val="00BA5F71"/>
    <w:rsid w:val="00C1085E"/>
    <w:rsid w:val="00CF5406"/>
    <w:rsid w:val="00DF5D6C"/>
    <w:rsid w:val="00EC2F2A"/>
    <w:rsid w:val="00EC75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1085E"/>
  </w:style>
  <w:style w:type="paragraph" w:styleId="Cmsor1">
    <w:name w:val="heading 1"/>
    <w:basedOn w:val="Norml"/>
    <w:next w:val="Norml"/>
    <w:link w:val="Cmsor1Char"/>
    <w:uiPriority w:val="9"/>
    <w:qFormat/>
    <w:rsid w:val="001639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semiHidden/>
    <w:unhideWhenUsed/>
    <w:qFormat/>
    <w:rsid w:val="0016398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16398A"/>
    <w:pPr>
      <w:keepNext/>
      <w:keepLines/>
      <w:spacing w:before="200"/>
      <w:outlineLvl w:val="2"/>
    </w:pPr>
    <w:rPr>
      <w:rFonts w:asciiTheme="majorHAnsi" w:eastAsiaTheme="majorEastAsia" w:hAnsiTheme="majorHAnsi" w:cstheme="majorBidi"/>
      <w:b/>
      <w:bCs/>
      <w:color w:val="4F81BD" w:themeColor="accent1"/>
      <w:sz w:val="24"/>
      <w:szCs w:val="24"/>
    </w:rPr>
  </w:style>
  <w:style w:type="paragraph" w:styleId="Cmsor4">
    <w:name w:val="heading 4"/>
    <w:basedOn w:val="Norml"/>
    <w:next w:val="Norml"/>
    <w:link w:val="Cmsor4Char"/>
    <w:uiPriority w:val="9"/>
    <w:semiHidden/>
    <w:unhideWhenUsed/>
    <w:qFormat/>
    <w:rsid w:val="0016398A"/>
    <w:pPr>
      <w:keepNext/>
      <w:keepLines/>
      <w:spacing w:before="200"/>
      <w:outlineLvl w:val="3"/>
    </w:pPr>
    <w:rPr>
      <w:rFonts w:asciiTheme="majorHAnsi" w:eastAsiaTheme="majorEastAsia" w:hAnsiTheme="majorHAnsi" w:cstheme="majorBidi"/>
      <w:b/>
      <w:bCs/>
      <w:i/>
      <w:iCs/>
      <w:color w:val="4F81BD" w:themeColor="accent1"/>
      <w:sz w:val="24"/>
      <w:szCs w:val="24"/>
    </w:rPr>
  </w:style>
  <w:style w:type="paragraph" w:styleId="Cmsor5">
    <w:name w:val="heading 5"/>
    <w:basedOn w:val="Norml"/>
    <w:next w:val="Norml"/>
    <w:link w:val="Cmsor5Char"/>
    <w:uiPriority w:val="9"/>
    <w:semiHidden/>
    <w:unhideWhenUsed/>
    <w:qFormat/>
    <w:rsid w:val="0016398A"/>
    <w:pPr>
      <w:keepNext/>
      <w:keepLines/>
      <w:spacing w:before="200"/>
      <w:outlineLvl w:val="4"/>
    </w:pPr>
    <w:rPr>
      <w:rFonts w:asciiTheme="majorHAnsi" w:eastAsiaTheme="majorEastAsia" w:hAnsiTheme="majorHAnsi" w:cstheme="majorBidi"/>
      <w:color w:val="243F60" w:themeColor="accent1" w:themeShade="7F"/>
      <w:sz w:val="24"/>
      <w:szCs w:val="24"/>
    </w:rPr>
  </w:style>
  <w:style w:type="paragraph" w:styleId="Cmsor6">
    <w:name w:val="heading 6"/>
    <w:basedOn w:val="Norml"/>
    <w:next w:val="Norml"/>
    <w:link w:val="Cmsor6Char"/>
    <w:uiPriority w:val="9"/>
    <w:semiHidden/>
    <w:unhideWhenUsed/>
    <w:qFormat/>
    <w:rsid w:val="0016398A"/>
    <w:pPr>
      <w:keepNext/>
      <w:keepLines/>
      <w:spacing w:before="200"/>
      <w:outlineLvl w:val="5"/>
    </w:pPr>
    <w:rPr>
      <w:rFonts w:asciiTheme="majorHAnsi" w:eastAsiaTheme="majorEastAsia" w:hAnsiTheme="majorHAnsi" w:cstheme="majorBidi"/>
      <w:i/>
      <w:iCs/>
      <w:color w:val="243F60" w:themeColor="accent1" w:themeShade="7F"/>
      <w:sz w:val="24"/>
      <w:szCs w:val="24"/>
    </w:rPr>
  </w:style>
  <w:style w:type="paragraph" w:styleId="Cmsor7">
    <w:name w:val="heading 7"/>
    <w:basedOn w:val="Norml"/>
    <w:next w:val="Norml"/>
    <w:link w:val="Cmsor7Char"/>
    <w:uiPriority w:val="9"/>
    <w:semiHidden/>
    <w:unhideWhenUsed/>
    <w:qFormat/>
    <w:rsid w:val="0016398A"/>
    <w:pPr>
      <w:keepNext/>
      <w:keepLines/>
      <w:spacing w:before="200"/>
      <w:outlineLvl w:val="6"/>
    </w:pPr>
    <w:rPr>
      <w:rFonts w:asciiTheme="majorHAnsi" w:eastAsiaTheme="majorEastAsia" w:hAnsiTheme="majorHAnsi" w:cstheme="majorBidi"/>
      <w:i/>
      <w:iCs/>
      <w:color w:val="404040" w:themeColor="text1" w:themeTint="BF"/>
      <w:sz w:val="24"/>
      <w:szCs w:val="24"/>
    </w:rPr>
  </w:style>
  <w:style w:type="paragraph" w:styleId="Cmsor8">
    <w:name w:val="heading 8"/>
    <w:basedOn w:val="Norml"/>
    <w:next w:val="Norml"/>
    <w:link w:val="Cmsor8Char"/>
    <w:uiPriority w:val="9"/>
    <w:semiHidden/>
    <w:unhideWhenUsed/>
    <w:qFormat/>
    <w:rsid w:val="0016398A"/>
    <w:pPr>
      <w:keepNext/>
      <w:keepLines/>
      <w:spacing w:before="200"/>
      <w:outlineLvl w:val="7"/>
    </w:pPr>
    <w:rPr>
      <w:rFonts w:asciiTheme="majorHAnsi" w:eastAsiaTheme="majorEastAsia" w:hAnsiTheme="majorHAnsi" w:cstheme="majorBidi"/>
      <w:color w:val="404040" w:themeColor="text1" w:themeTint="BF"/>
    </w:rPr>
  </w:style>
  <w:style w:type="paragraph" w:styleId="Cmsor9">
    <w:name w:val="heading 9"/>
    <w:basedOn w:val="Norml"/>
    <w:next w:val="Norml"/>
    <w:link w:val="Cmsor9Char"/>
    <w:uiPriority w:val="9"/>
    <w:semiHidden/>
    <w:unhideWhenUsed/>
    <w:qFormat/>
    <w:rsid w:val="0016398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16398A"/>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semiHidden/>
    <w:rsid w:val="0016398A"/>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semiHidden/>
    <w:rsid w:val="0016398A"/>
    <w:rPr>
      <w:rFonts w:asciiTheme="majorHAnsi" w:eastAsiaTheme="majorEastAsia" w:hAnsiTheme="majorHAnsi" w:cstheme="majorBidi"/>
      <w:b/>
      <w:bCs/>
      <w:color w:val="4F81BD" w:themeColor="accent1"/>
      <w:sz w:val="24"/>
      <w:szCs w:val="24"/>
    </w:rPr>
  </w:style>
  <w:style w:type="character" w:customStyle="1" w:styleId="Cmsor4Char">
    <w:name w:val="Címsor 4 Char"/>
    <w:basedOn w:val="Bekezdsalapbettpusa"/>
    <w:link w:val="Cmsor4"/>
    <w:uiPriority w:val="9"/>
    <w:semiHidden/>
    <w:rsid w:val="0016398A"/>
    <w:rPr>
      <w:rFonts w:asciiTheme="majorHAnsi" w:eastAsiaTheme="majorEastAsia" w:hAnsiTheme="majorHAnsi" w:cstheme="majorBidi"/>
      <w:b/>
      <w:bCs/>
      <w:i/>
      <w:iCs/>
      <w:color w:val="4F81BD" w:themeColor="accent1"/>
      <w:sz w:val="24"/>
      <w:szCs w:val="24"/>
    </w:rPr>
  </w:style>
  <w:style w:type="character" w:customStyle="1" w:styleId="Cmsor5Char">
    <w:name w:val="Címsor 5 Char"/>
    <w:basedOn w:val="Bekezdsalapbettpusa"/>
    <w:link w:val="Cmsor5"/>
    <w:uiPriority w:val="9"/>
    <w:semiHidden/>
    <w:rsid w:val="0016398A"/>
    <w:rPr>
      <w:rFonts w:asciiTheme="majorHAnsi" w:eastAsiaTheme="majorEastAsia" w:hAnsiTheme="majorHAnsi" w:cstheme="majorBidi"/>
      <w:color w:val="243F60" w:themeColor="accent1" w:themeShade="7F"/>
      <w:sz w:val="24"/>
      <w:szCs w:val="24"/>
    </w:rPr>
  </w:style>
  <w:style w:type="character" w:customStyle="1" w:styleId="Cmsor6Char">
    <w:name w:val="Címsor 6 Char"/>
    <w:basedOn w:val="Bekezdsalapbettpusa"/>
    <w:link w:val="Cmsor6"/>
    <w:uiPriority w:val="9"/>
    <w:semiHidden/>
    <w:rsid w:val="0016398A"/>
    <w:rPr>
      <w:rFonts w:asciiTheme="majorHAnsi" w:eastAsiaTheme="majorEastAsia" w:hAnsiTheme="majorHAnsi" w:cstheme="majorBidi"/>
      <w:i/>
      <w:iCs/>
      <w:color w:val="243F60" w:themeColor="accent1" w:themeShade="7F"/>
      <w:sz w:val="24"/>
      <w:szCs w:val="24"/>
    </w:rPr>
  </w:style>
  <w:style w:type="character" w:customStyle="1" w:styleId="Cmsor7Char">
    <w:name w:val="Címsor 7 Char"/>
    <w:basedOn w:val="Bekezdsalapbettpusa"/>
    <w:link w:val="Cmsor7"/>
    <w:uiPriority w:val="9"/>
    <w:semiHidden/>
    <w:rsid w:val="0016398A"/>
    <w:rPr>
      <w:rFonts w:asciiTheme="majorHAnsi" w:eastAsiaTheme="majorEastAsia" w:hAnsiTheme="majorHAnsi" w:cstheme="majorBidi"/>
      <w:i/>
      <w:iCs/>
      <w:color w:val="404040" w:themeColor="text1" w:themeTint="BF"/>
      <w:sz w:val="24"/>
      <w:szCs w:val="24"/>
    </w:rPr>
  </w:style>
  <w:style w:type="character" w:customStyle="1" w:styleId="Cmsor8Char">
    <w:name w:val="Címsor 8 Char"/>
    <w:basedOn w:val="Bekezdsalapbettpusa"/>
    <w:link w:val="Cmsor8"/>
    <w:uiPriority w:val="9"/>
    <w:semiHidden/>
    <w:rsid w:val="0016398A"/>
    <w:rPr>
      <w:rFonts w:asciiTheme="majorHAnsi" w:eastAsiaTheme="majorEastAsia" w:hAnsiTheme="majorHAnsi" w:cstheme="majorBidi"/>
      <w:color w:val="404040" w:themeColor="text1" w:themeTint="BF"/>
    </w:rPr>
  </w:style>
  <w:style w:type="character" w:customStyle="1" w:styleId="Cmsor9Char">
    <w:name w:val="Címsor 9 Char"/>
    <w:basedOn w:val="Bekezdsalapbettpusa"/>
    <w:link w:val="Cmsor9"/>
    <w:uiPriority w:val="9"/>
    <w:semiHidden/>
    <w:rsid w:val="0016398A"/>
    <w:rPr>
      <w:rFonts w:asciiTheme="majorHAnsi" w:eastAsiaTheme="majorEastAsia" w:hAnsiTheme="majorHAnsi" w:cstheme="majorBidi"/>
      <w:i/>
      <w:iCs/>
      <w:color w:val="404040" w:themeColor="text1" w:themeTint="BF"/>
    </w:rPr>
  </w:style>
  <w:style w:type="paragraph" w:styleId="Cm">
    <w:name w:val="Title"/>
    <w:basedOn w:val="Norml"/>
    <w:next w:val="Norml"/>
    <w:link w:val="CmChar"/>
    <w:uiPriority w:val="10"/>
    <w:qFormat/>
    <w:rsid w:val="0016398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16398A"/>
    <w:rPr>
      <w:rFonts w:asciiTheme="majorHAnsi" w:eastAsiaTheme="majorEastAsia" w:hAnsiTheme="majorHAnsi" w:cstheme="majorBidi"/>
      <w:color w:val="17365D" w:themeColor="text2" w:themeShade="BF"/>
      <w:spacing w:val="5"/>
      <w:kern w:val="28"/>
      <w:sz w:val="52"/>
      <w:szCs w:val="52"/>
    </w:rPr>
  </w:style>
  <w:style w:type="paragraph" w:styleId="Alcm">
    <w:name w:val="Subtitle"/>
    <w:basedOn w:val="Norml"/>
    <w:next w:val="Norml"/>
    <w:link w:val="AlcmChar"/>
    <w:uiPriority w:val="11"/>
    <w:qFormat/>
    <w:rsid w:val="0016398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cmChar">
    <w:name w:val="Alcím Char"/>
    <w:basedOn w:val="Bekezdsalapbettpusa"/>
    <w:link w:val="Alcm"/>
    <w:uiPriority w:val="11"/>
    <w:rsid w:val="0016398A"/>
    <w:rPr>
      <w:rFonts w:asciiTheme="majorHAnsi" w:eastAsiaTheme="majorEastAsia" w:hAnsiTheme="majorHAnsi" w:cstheme="majorBidi"/>
      <w:i/>
      <w:iCs/>
      <w:color w:val="4F81BD" w:themeColor="accent1"/>
      <w:spacing w:val="15"/>
      <w:sz w:val="24"/>
      <w:szCs w:val="24"/>
    </w:rPr>
  </w:style>
  <w:style w:type="character" w:styleId="Kiemels2">
    <w:name w:val="Strong"/>
    <w:basedOn w:val="Bekezdsalapbettpusa"/>
    <w:uiPriority w:val="22"/>
    <w:qFormat/>
    <w:rsid w:val="0016398A"/>
    <w:rPr>
      <w:b/>
      <w:bCs/>
    </w:rPr>
  </w:style>
  <w:style w:type="character" w:styleId="Kiemels">
    <w:name w:val="Emphasis"/>
    <w:uiPriority w:val="20"/>
    <w:qFormat/>
    <w:rsid w:val="0016398A"/>
    <w:rPr>
      <w:i/>
      <w:iCs/>
    </w:rPr>
  </w:style>
  <w:style w:type="paragraph" w:styleId="Nincstrkz">
    <w:name w:val="No Spacing"/>
    <w:basedOn w:val="Norml"/>
    <w:uiPriority w:val="1"/>
    <w:qFormat/>
    <w:rsid w:val="0016398A"/>
    <w:pPr>
      <w:spacing w:before="100" w:beforeAutospacing="1" w:after="100" w:afterAutospacing="1"/>
    </w:pPr>
    <w:rPr>
      <w:sz w:val="24"/>
      <w:szCs w:val="24"/>
    </w:rPr>
  </w:style>
  <w:style w:type="paragraph" w:styleId="Listaszerbekezds">
    <w:name w:val="List Paragraph"/>
    <w:basedOn w:val="Norml"/>
    <w:uiPriority w:val="34"/>
    <w:qFormat/>
    <w:rsid w:val="0016398A"/>
    <w:pPr>
      <w:ind w:left="720"/>
      <w:contextualSpacing/>
    </w:pPr>
    <w:rPr>
      <w:sz w:val="24"/>
      <w:szCs w:val="24"/>
    </w:rPr>
  </w:style>
  <w:style w:type="paragraph" w:styleId="Idzet">
    <w:name w:val="Quote"/>
    <w:basedOn w:val="Norml"/>
    <w:next w:val="Norml"/>
    <w:link w:val="IdzetChar"/>
    <w:uiPriority w:val="29"/>
    <w:qFormat/>
    <w:rsid w:val="0016398A"/>
    <w:rPr>
      <w:i/>
      <w:iCs/>
      <w:color w:val="000000" w:themeColor="text1"/>
      <w:sz w:val="24"/>
      <w:szCs w:val="24"/>
    </w:rPr>
  </w:style>
  <w:style w:type="character" w:customStyle="1" w:styleId="IdzetChar">
    <w:name w:val="Idézet Char"/>
    <w:basedOn w:val="Bekezdsalapbettpusa"/>
    <w:link w:val="Idzet"/>
    <w:uiPriority w:val="29"/>
    <w:rsid w:val="0016398A"/>
    <w:rPr>
      <w:rFonts w:eastAsiaTheme="minorHAnsi"/>
      <w:i/>
      <w:iCs/>
      <w:color w:val="000000" w:themeColor="text1"/>
      <w:sz w:val="24"/>
      <w:szCs w:val="24"/>
    </w:rPr>
  </w:style>
  <w:style w:type="paragraph" w:styleId="Kiemeltidzet">
    <w:name w:val="Intense Quote"/>
    <w:basedOn w:val="Norml"/>
    <w:next w:val="Norml"/>
    <w:link w:val="KiemeltidzetChar"/>
    <w:uiPriority w:val="30"/>
    <w:qFormat/>
    <w:rsid w:val="0016398A"/>
    <w:pPr>
      <w:pBdr>
        <w:bottom w:val="single" w:sz="4" w:space="4" w:color="4F81BD" w:themeColor="accent1"/>
      </w:pBdr>
      <w:spacing w:before="200" w:after="280"/>
      <w:ind w:left="936" w:right="936"/>
    </w:pPr>
    <w:rPr>
      <w:b/>
      <w:bCs/>
      <w:i/>
      <w:iCs/>
      <w:color w:val="4F81BD" w:themeColor="accent1"/>
      <w:sz w:val="24"/>
      <w:szCs w:val="24"/>
    </w:rPr>
  </w:style>
  <w:style w:type="character" w:customStyle="1" w:styleId="KiemeltidzetChar">
    <w:name w:val="Kiemelt idézet Char"/>
    <w:basedOn w:val="Bekezdsalapbettpusa"/>
    <w:link w:val="Kiemeltidzet"/>
    <w:uiPriority w:val="30"/>
    <w:rsid w:val="0016398A"/>
    <w:rPr>
      <w:rFonts w:eastAsiaTheme="minorHAnsi"/>
      <w:b/>
      <w:bCs/>
      <w:i/>
      <w:iCs/>
      <w:color w:val="4F81BD" w:themeColor="accent1"/>
      <w:sz w:val="24"/>
      <w:szCs w:val="24"/>
    </w:rPr>
  </w:style>
  <w:style w:type="character" w:styleId="Finomkiemels">
    <w:name w:val="Subtle Emphasis"/>
    <w:uiPriority w:val="19"/>
    <w:qFormat/>
    <w:rsid w:val="0016398A"/>
    <w:rPr>
      <w:i/>
      <w:iCs/>
      <w:color w:val="808080" w:themeColor="text1" w:themeTint="7F"/>
    </w:rPr>
  </w:style>
  <w:style w:type="character" w:styleId="Ershangslyozs">
    <w:name w:val="Intense Emphasis"/>
    <w:uiPriority w:val="21"/>
    <w:qFormat/>
    <w:rsid w:val="0016398A"/>
    <w:rPr>
      <w:b/>
      <w:bCs/>
      <w:i/>
      <w:iCs/>
      <w:color w:val="4F81BD" w:themeColor="accent1"/>
    </w:rPr>
  </w:style>
  <w:style w:type="character" w:styleId="Finomhivatkozs">
    <w:name w:val="Subtle Reference"/>
    <w:basedOn w:val="Bekezdsalapbettpusa"/>
    <w:uiPriority w:val="31"/>
    <w:qFormat/>
    <w:rsid w:val="0016398A"/>
    <w:rPr>
      <w:smallCaps/>
      <w:color w:val="C0504D" w:themeColor="accent2"/>
      <w:u w:val="single"/>
    </w:rPr>
  </w:style>
  <w:style w:type="character" w:styleId="Ershivatkozs">
    <w:name w:val="Intense Reference"/>
    <w:uiPriority w:val="32"/>
    <w:qFormat/>
    <w:rsid w:val="0016398A"/>
    <w:rPr>
      <w:b/>
      <w:bCs/>
      <w:smallCaps/>
      <w:color w:val="C0504D" w:themeColor="accent2"/>
      <w:spacing w:val="5"/>
      <w:u w:val="single"/>
    </w:rPr>
  </w:style>
  <w:style w:type="character" w:styleId="Knyvcme">
    <w:name w:val="Book Title"/>
    <w:basedOn w:val="Bekezdsalapbettpusa"/>
    <w:uiPriority w:val="33"/>
    <w:qFormat/>
    <w:rsid w:val="0016398A"/>
    <w:rPr>
      <w:b/>
      <w:bCs/>
      <w:smallCaps/>
      <w:spacing w:val="5"/>
    </w:rPr>
  </w:style>
  <w:style w:type="paragraph" w:styleId="Tartalomjegyzkcmsora">
    <w:name w:val="TOC Heading"/>
    <w:basedOn w:val="Cmsor1"/>
    <w:next w:val="Norml"/>
    <w:uiPriority w:val="39"/>
    <w:semiHidden/>
    <w:unhideWhenUsed/>
    <w:qFormat/>
    <w:rsid w:val="0016398A"/>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2148</Characters>
  <Application>Microsoft Office Word</Application>
  <DocSecurity>0</DocSecurity>
  <Lines>17</Lines>
  <Paragraphs>5</Paragraphs>
  <ScaleCrop>false</ScaleCrop>
  <Company/>
  <LinksUpToDate>false</LinksUpToDate>
  <CharactersWithSpaces>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Istvan Nemeti</dc:creator>
  <cp:keywords/>
  <dc:description/>
  <cp:lastModifiedBy>Istvan Nemeti</cp:lastModifiedBy>
  <cp:revision>3</cp:revision>
  <dcterms:created xsi:type="dcterms:W3CDTF">2018-12-22T10:35:00Z</dcterms:created>
  <dcterms:modified xsi:type="dcterms:W3CDTF">2018-12-22T10:36:00Z</dcterms:modified>
</cp:coreProperties>
</file>